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D1" w:rsidRPr="00F67BF7" w:rsidRDefault="00834FD1" w:rsidP="00834FD1">
      <w:pPr>
        <w:pStyle w:val="ISETitleHeading"/>
        <w:spacing w:after="120"/>
        <w:rPr>
          <w:rFonts w:asciiTheme="minorHAnsi" w:hAnsiTheme="minorHAnsi"/>
        </w:rPr>
      </w:pPr>
      <w:r w:rsidRPr="00F67BF7">
        <w:rPr>
          <w:rFonts w:asciiTheme="minorHAnsi" w:hAnsiTheme="minorHAnsi"/>
        </w:rPr>
        <w:t>Li</w:t>
      </w:r>
      <w:r w:rsidR="001F6DA6" w:rsidRPr="00F67BF7">
        <w:rPr>
          <w:rFonts w:asciiTheme="minorHAnsi" w:hAnsiTheme="minorHAnsi"/>
        </w:rPr>
        <w:t xml:space="preserve">sting </w:t>
      </w:r>
      <w:r w:rsidR="004E6781" w:rsidRPr="00F67BF7">
        <w:rPr>
          <w:rFonts w:asciiTheme="minorHAnsi" w:hAnsiTheme="minorHAnsi"/>
        </w:rPr>
        <w:t>Conditions</w:t>
      </w:r>
      <w:r w:rsidR="001F6DA6" w:rsidRPr="00F67BF7">
        <w:rPr>
          <w:rFonts w:asciiTheme="minorHAnsi" w:hAnsiTheme="minorHAnsi"/>
        </w:rPr>
        <w:t xml:space="preserve"> </w:t>
      </w:r>
      <w:r w:rsidR="004E6781" w:rsidRPr="00F67BF7">
        <w:rPr>
          <w:rFonts w:asciiTheme="minorHAnsi" w:hAnsiTheme="minorHAnsi"/>
        </w:rPr>
        <w:t xml:space="preserve">– </w:t>
      </w:r>
    </w:p>
    <w:p w:rsidR="00834FD1" w:rsidRDefault="00834FD1" w:rsidP="00834FD1">
      <w:pPr>
        <w:pStyle w:val="ISETitleHeading"/>
        <w:spacing w:after="360"/>
        <w:rPr>
          <w:rFonts w:asciiTheme="minorHAnsi" w:hAnsiTheme="minorHAnsi"/>
        </w:rPr>
      </w:pPr>
      <w:r w:rsidRPr="00F67BF7">
        <w:rPr>
          <w:rFonts w:asciiTheme="minorHAnsi" w:hAnsiTheme="minorHAnsi"/>
        </w:rPr>
        <w:t xml:space="preserve">Euronext Dublin </w:t>
      </w:r>
      <w:r w:rsidR="001F6DA6" w:rsidRPr="00F67BF7">
        <w:rPr>
          <w:rFonts w:asciiTheme="minorHAnsi" w:hAnsiTheme="minorHAnsi"/>
        </w:rPr>
        <w:t>Primary</w:t>
      </w:r>
      <w:r w:rsidRPr="00F67BF7">
        <w:rPr>
          <w:rFonts w:asciiTheme="minorHAnsi" w:hAnsiTheme="minorHAnsi"/>
        </w:rPr>
        <w:t xml:space="preserve"> </w:t>
      </w:r>
      <w:r w:rsidR="001F6DA6" w:rsidRPr="00F67BF7">
        <w:rPr>
          <w:rFonts w:asciiTheme="minorHAnsi" w:hAnsiTheme="minorHAnsi"/>
        </w:rPr>
        <w:t>Checklist</w:t>
      </w:r>
    </w:p>
    <w:p w:rsidR="009E2AF0" w:rsidRPr="000829D6" w:rsidRDefault="000829D6" w:rsidP="009E2AF0">
      <w:pPr>
        <w:pStyle w:val="Heading1"/>
        <w:rPr>
          <w:rFonts w:asciiTheme="minorHAnsi" w:hAnsiTheme="minorHAnsi"/>
          <w:b/>
          <w:sz w:val="48"/>
          <w:szCs w:val="48"/>
        </w:rPr>
      </w:pPr>
      <w:r w:rsidRPr="000829D6">
        <w:rPr>
          <w:rFonts w:asciiTheme="minorHAnsi" w:hAnsiTheme="minorHAnsi"/>
          <w:b/>
          <w:sz w:val="48"/>
          <w:szCs w:val="48"/>
        </w:rPr>
        <w:t>Real Estate Investment Trusts</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F67BF7" w:rsidRDefault="00A833C9" w:rsidP="00E41E01">
            <w:pPr>
              <w:pStyle w:val="ISEMainbodytext"/>
              <w:rPr>
                <w:rFonts w:asciiTheme="minorHAnsi" w:hAnsiTheme="minorHAnsi"/>
                <w:sz w:val="22"/>
                <w:szCs w:val="22"/>
              </w:rPr>
            </w:pPr>
            <w:r w:rsidRPr="00F67BF7">
              <w:rPr>
                <w:rFonts w:asciiTheme="minorHAnsi" w:hAnsiTheme="minorHAnsi"/>
                <w:sz w:val="22"/>
                <w:szCs w:val="22"/>
              </w:rPr>
              <w:t xml:space="preserve">Name of </w:t>
            </w:r>
            <w:r w:rsidR="00E41E01" w:rsidRPr="00F67BF7">
              <w:rPr>
                <w:rFonts w:asciiTheme="minorHAnsi" w:hAnsiTheme="minorHAnsi"/>
                <w:sz w:val="22"/>
                <w:szCs w:val="22"/>
              </w:rPr>
              <w:t>Company</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Nature of Transaction</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D107D5">
        <w:trPr>
          <w:trHeight w:hRule="exact" w:val="397"/>
        </w:trPr>
        <w:tc>
          <w:tcPr>
            <w:tcW w:w="2098" w:type="dxa"/>
            <w:tcBorders>
              <w:top w:val="nil"/>
              <w:bottom w:val="single" w:sz="4" w:space="0" w:color="2E6D30"/>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Name of Sponsor</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834FD1">
        <w:trPr>
          <w:trHeight w:hRule="exact" w:val="548"/>
        </w:trPr>
        <w:tc>
          <w:tcPr>
            <w:tcW w:w="2098" w:type="dxa"/>
            <w:tcBorders>
              <w:top w:val="single" w:sz="4" w:space="0" w:color="2E6D30"/>
              <w:bottom w:val="nil"/>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Date submitted</w:t>
            </w:r>
          </w:p>
        </w:tc>
        <w:bookmarkStart w:id="0" w:name="Text1"/>
        <w:tc>
          <w:tcPr>
            <w:tcW w:w="6294" w:type="dxa"/>
            <w:tcBorders>
              <w:top w:val="single" w:sz="4" w:space="0" w:color="2E6D30"/>
              <w:bottom w:val="nil"/>
            </w:tcBorders>
          </w:tcPr>
          <w:p w:rsidR="00A833C9" w:rsidRPr="00F67BF7" w:rsidRDefault="003F656E"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type w:val="date"/>
                    <w:format w:val="dd MMMM yyyy"/>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hAnsiTheme="minorHAnsi"/>
                <w:sz w:val="22"/>
                <w:szCs w:val="22"/>
              </w:rPr>
              <w:fldChar w:fldCharType="end"/>
            </w:r>
            <w:bookmarkEnd w:id="0"/>
          </w:p>
        </w:tc>
      </w:tr>
      <w:tr w:rsidR="00C6522E" w:rsidRPr="00700EA2" w:rsidTr="007A3804">
        <w:trPr>
          <w:trHeight w:hRule="exact" w:val="408"/>
        </w:trPr>
        <w:tc>
          <w:tcPr>
            <w:tcW w:w="8392" w:type="dxa"/>
            <w:gridSpan w:val="2"/>
            <w:tcBorders>
              <w:top w:val="nil"/>
              <w:bottom w:val="nil"/>
            </w:tcBorders>
            <w:tcMar>
              <w:left w:w="0" w:type="dxa"/>
              <w:right w:w="0" w:type="dxa"/>
            </w:tcMar>
          </w:tcPr>
          <w:p w:rsidR="00C6522E" w:rsidRPr="00F67BF7" w:rsidRDefault="00C6522E" w:rsidP="007A3804">
            <w:pPr>
              <w:pStyle w:val="ISESubheading"/>
              <w:rPr>
                <w:rFonts w:asciiTheme="minorHAnsi" w:hAnsiTheme="minorHAnsi"/>
                <w:sz w:val="22"/>
                <w:szCs w:val="22"/>
              </w:rPr>
            </w:pPr>
          </w:p>
        </w:tc>
      </w:tr>
    </w:tbl>
    <w:p w:rsidR="00307B2F" w:rsidRDefault="00307B2F" w:rsidP="00C6522E">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2835"/>
        <w:gridCol w:w="851"/>
        <w:gridCol w:w="992"/>
        <w:gridCol w:w="2580"/>
      </w:tblGrid>
      <w:tr w:rsidR="00C6522E" w:rsidRPr="0022342B" w:rsidTr="00345BEB">
        <w:trPr>
          <w:trHeight w:val="397"/>
          <w:tblHeader/>
        </w:trPr>
        <w:tc>
          <w:tcPr>
            <w:tcW w:w="1134" w:type="dxa"/>
            <w:tcBorders>
              <w:top w:val="nil"/>
              <w:bottom w:val="single" w:sz="4" w:space="0" w:color="2E6D30"/>
              <w:right w:val="single" w:sz="4" w:space="0" w:color="2E6D30"/>
            </w:tcBorders>
            <w:tcMar>
              <w:left w:w="0" w:type="dxa"/>
              <w:right w:w="0" w:type="dxa"/>
            </w:tcMar>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Rule</w:t>
            </w:r>
          </w:p>
        </w:tc>
        <w:tc>
          <w:tcPr>
            <w:tcW w:w="2835"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Proof number</w:t>
            </w:r>
          </w:p>
        </w:tc>
        <w:tc>
          <w:tcPr>
            <w:tcW w:w="2580" w:type="dxa"/>
            <w:tcBorders>
              <w:top w:val="nil"/>
              <w:left w:val="single" w:sz="4" w:space="0" w:color="2E6D30"/>
              <w:bottom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 xml:space="preserve">Comment </w:t>
            </w:r>
            <w:r w:rsidRPr="00F67BF7">
              <w:rPr>
                <w:rFonts w:ascii="Calibri" w:hAnsi="Calibri"/>
                <w:sz w:val="22"/>
                <w:szCs w:val="22"/>
              </w:rPr>
              <w:br/>
              <w:t>(where applicable)</w:t>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CF34BE" w:rsidRDefault="007B7ECF" w:rsidP="004E6781">
            <w:pPr>
              <w:pStyle w:val="ISEMainbodytext"/>
              <w:rPr>
                <w:rFonts w:ascii="Calibri" w:hAnsi="Calibri"/>
                <w:b/>
                <w:sz w:val="22"/>
                <w:szCs w:val="22"/>
              </w:rPr>
            </w:pPr>
            <w:r w:rsidRPr="00F67BF7">
              <w:rPr>
                <w:rFonts w:ascii="Calibri" w:hAnsi="Calibri"/>
                <w:b/>
                <w:sz w:val="22"/>
                <w:szCs w:val="22"/>
              </w:rPr>
              <w:t xml:space="preserve">Rule 6.2 Book 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Del="00CF34BE" w:rsidRDefault="007B7ECF" w:rsidP="004E6781">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4E6781">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4E6781">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F67BF7" w:rsidRDefault="007B7ECF" w:rsidP="004E6781">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6201(i)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Legal form of issuer must be in accordance with laws and regulations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Issuer must comply with any relevant competent authority</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6201(iii)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Adequate procedures for clearing and settlement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 (iv)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ISIN and LEI</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6202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of same class have identical rights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6203</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validly issued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6204</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Form of securities comply with national regulations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6205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traded in a fair, orderly and efficient manner and are freely negotiable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6206(i)(ii)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Underlying securities are traded or will be traded on a </w:t>
            </w:r>
            <w:r w:rsidRPr="00F67BF7">
              <w:rPr>
                <w:rFonts w:ascii="Calibri" w:hAnsi="Calibri"/>
                <w:sz w:val="22"/>
                <w:szCs w:val="22"/>
              </w:rPr>
              <w:lastRenderedPageBreak/>
              <w:t>regulated market or equivalent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lastRenderedPageBreak/>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6207</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Whole class to be listed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b/>
                <w:sz w:val="22"/>
                <w:szCs w:val="22"/>
              </w:rPr>
            </w:pPr>
            <w:r w:rsidRPr="00F67BF7">
              <w:rPr>
                <w:rFonts w:ascii="Calibri" w:hAnsi="Calibri"/>
                <w:b/>
                <w:sz w:val="22"/>
                <w:szCs w:val="22"/>
              </w:rPr>
              <w:t>Rule 2.1 Book II</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651481"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651481"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651481" w:rsidRDefault="007B7ECF" w:rsidP="007B7ECF">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2.1.3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Operating in conformity </w:t>
            </w:r>
            <w:r w:rsidRPr="00F67BF7">
              <w:rPr>
                <w:rFonts w:ascii="Calibri" w:hAnsi="Calibri"/>
                <w:sz w:val="22"/>
                <w:szCs w:val="22"/>
              </w:rPr>
              <w:br/>
              <w:t>with constitutional documents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2.1.4(1)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Admitted on RIE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6F7A01" w:rsidRDefault="007B7ECF" w:rsidP="00F67BF7">
            <w:pPr>
              <w:pStyle w:val="ISEMainbodytext"/>
              <w:rPr>
                <w:rFonts w:ascii="Calibri" w:hAnsi="Calibri"/>
                <w:sz w:val="22"/>
                <w:szCs w:val="22"/>
              </w:rPr>
            </w:pPr>
            <w:r w:rsidRPr="00F67BF7">
              <w:rPr>
                <w:rFonts w:ascii="Calibri" w:hAnsi="Calibri"/>
                <w:sz w:val="22"/>
                <w:szCs w:val="22"/>
              </w:rPr>
              <w:t xml:space="preserve">2.1.4(2)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Compliance with stock exchange where securities admitted to trading </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2.1.5(2)</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Fully paid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2.1.8(1)</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Minimum market capitalisation</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2.1.10(2)</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Prospectus approved by </w:t>
            </w:r>
            <w:r w:rsidRPr="00F67BF7">
              <w:rPr>
                <w:rFonts w:ascii="Calibri" w:hAnsi="Calibri"/>
                <w:sz w:val="22"/>
                <w:szCs w:val="22"/>
              </w:rPr>
              <w:br/>
              <w:t>Member State and published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2.1.11(1</w:t>
            </w:r>
            <w:r w:rsidR="0068030E">
              <w:rPr>
                <w:rFonts w:ascii="Calibri" w:hAnsi="Calibr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Convertible into listed securities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2.1.11(2)(3)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Convertible into recognised </w:t>
            </w:r>
            <w:r w:rsidRPr="00F67BF7">
              <w:rPr>
                <w:rFonts w:ascii="Calibri" w:hAnsi="Calibri"/>
                <w:sz w:val="22"/>
                <w:szCs w:val="22"/>
              </w:rPr>
              <w:br/>
              <w:t>market securities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2.1.13</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Warrants or options to subscribe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1E2340" w:rsidRDefault="007B7ECF" w:rsidP="007B7ECF">
            <w:pPr>
              <w:pStyle w:val="ISEMainbodytext"/>
              <w:rPr>
                <w:rFonts w:ascii="Calibri" w:hAnsi="Calibri"/>
                <w:b/>
                <w:sz w:val="22"/>
                <w:szCs w:val="22"/>
              </w:rPr>
            </w:pPr>
            <w:r w:rsidRPr="00F67BF7">
              <w:rPr>
                <w:rFonts w:ascii="Calibri" w:hAnsi="Calibri"/>
                <w:b/>
                <w:sz w:val="22"/>
                <w:szCs w:val="22"/>
              </w:rPr>
              <w:t xml:space="preserve">Rule 6.3 Book 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6302/1(ii) </w:t>
            </w:r>
          </w:p>
        </w:tc>
        <w:tc>
          <w:tcPr>
            <w:tcW w:w="2835" w:type="dxa"/>
            <w:tcBorders>
              <w:top w:val="single" w:sz="4" w:space="0" w:color="2E6D30"/>
              <w:left w:val="single" w:sz="4" w:space="0" w:color="2E6D30"/>
              <w:bottom w:val="single" w:sz="4" w:space="0" w:color="2E6D30"/>
              <w:right w:val="single" w:sz="4" w:space="0" w:color="2E6D30"/>
            </w:tcBorders>
          </w:tcPr>
          <w:p w:rsidR="007B7ECF" w:rsidRDefault="007B7ECF" w:rsidP="007B7ECF">
            <w:pPr>
              <w:pStyle w:val="ISEMainbodytext"/>
              <w:rPr>
                <w:rFonts w:ascii="Calibri" w:hAnsi="Calibri"/>
                <w:sz w:val="22"/>
                <w:szCs w:val="22"/>
              </w:rPr>
            </w:pPr>
            <w:r w:rsidRPr="00F67BF7">
              <w:rPr>
                <w:rFonts w:ascii="Calibri" w:hAnsi="Calibri"/>
                <w:sz w:val="22"/>
                <w:szCs w:val="22"/>
              </w:rPr>
              <w:t>Accounts for three year</w:t>
            </w:r>
            <w:r w:rsidR="000F43DF">
              <w:rPr>
                <w:rFonts w:ascii="Calibri" w:hAnsi="Calibri"/>
                <w:sz w:val="22"/>
                <w:szCs w:val="22"/>
              </w:rPr>
              <w:t>s</w:t>
            </w:r>
          </w:p>
          <w:p w:rsidR="000F43DF" w:rsidRPr="00F67BF7" w:rsidRDefault="000F43DF" w:rsidP="007B7ECF">
            <w:pPr>
              <w:pStyle w:val="ISEMainbodytext"/>
              <w:rPr>
                <w:rFonts w:ascii="Calibri" w:hAnsi="Calibri"/>
                <w:sz w:val="22"/>
                <w:szCs w:val="22"/>
              </w:rPr>
            </w:pPr>
            <w:r>
              <w:rPr>
                <w:rFonts w:ascii="Calibri" w:hAnsi="Calibri"/>
                <w:sz w:val="22"/>
                <w:szCs w:val="22"/>
              </w:rPr>
              <w:t>*unless accounts have not been published or otherwise agreed with Euronext Dublin</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6302/1(ii)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Accounts consolidated</w:t>
            </w:r>
            <w:r w:rsidR="000F43DF">
              <w:rPr>
                <w:rFonts w:ascii="Calibri" w:hAnsi="Calibri"/>
                <w:sz w:val="22"/>
                <w:szCs w:val="22"/>
              </w:rPr>
              <w: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6302/1(ii)</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IFRS accounting standards or equivalent</w:t>
            </w:r>
            <w:r w:rsidR="000F43DF">
              <w:rPr>
                <w:rFonts w:ascii="Calibri" w:hAnsi="Calibri"/>
                <w:sz w:val="22"/>
                <w:szCs w:val="22"/>
              </w:rPr>
              <w: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b/>
                <w:sz w:val="22"/>
                <w:szCs w:val="22"/>
              </w:rPr>
            </w:pPr>
            <w:r w:rsidRPr="00F67BF7">
              <w:rPr>
                <w:rFonts w:ascii="Calibri" w:hAnsi="Calibri"/>
                <w:b/>
                <w:sz w:val="22"/>
                <w:szCs w:val="22"/>
              </w:rPr>
              <w:t>Rule 2.2 Book II</w:t>
            </w:r>
          </w:p>
        </w:tc>
        <w:tc>
          <w:tcPr>
            <w:tcW w:w="2835" w:type="dxa"/>
            <w:tcBorders>
              <w:top w:val="single" w:sz="4" w:space="0" w:color="2E6D30"/>
              <w:left w:val="single" w:sz="4" w:space="0" w:color="2E6D30"/>
              <w:bottom w:val="nil"/>
              <w:right w:val="single" w:sz="4" w:space="0" w:color="2E6D30"/>
            </w:tcBorders>
          </w:tcPr>
          <w:p w:rsidR="007B7ECF" w:rsidRPr="00F67BF7" w:rsidDel="006F7A01"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2.2.4(1)(a)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6/9 month rule</w:t>
            </w:r>
            <w:r w:rsidR="000F43DF">
              <w:rPr>
                <w:rFonts w:ascii="Calibri" w:hAnsi="Calibri"/>
                <w:sz w:val="22"/>
                <w:szCs w:val="22"/>
              </w:rPr>
              <w: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2.2.4(1)(b)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Audited without modification</w:t>
            </w:r>
            <w:r w:rsidR="000F43DF">
              <w:rPr>
                <w:rFonts w:ascii="Calibri" w:hAnsi="Calibri"/>
                <w:sz w:val="22"/>
                <w:szCs w:val="22"/>
              </w:rPr>
              <w: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lastRenderedPageBreak/>
              <w:t xml:space="preserve">2.2.4(2)(a)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Independent auditors providing opinion</w:t>
            </w:r>
            <w:r w:rsidR="000F43DF">
              <w:rPr>
                <w:rFonts w:ascii="Calibri" w:hAnsi="Calibri"/>
                <w:sz w:val="22"/>
                <w:szCs w:val="22"/>
              </w:rPr>
              <w: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2.2.4(2)(b)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Auditors confirmation</w:t>
            </w:r>
            <w:r w:rsidR="000F43DF">
              <w:rPr>
                <w:rFonts w:ascii="Calibri" w:hAnsi="Calibri"/>
                <w:sz w:val="22"/>
                <w:szCs w:val="22"/>
              </w:rPr>
              <w: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Del="001441FD" w:rsidRDefault="007B7ECF" w:rsidP="007B7ECF">
            <w:pPr>
              <w:pStyle w:val="ISEMainbodytext"/>
              <w:rPr>
                <w:rFonts w:ascii="Calibri" w:hAnsi="Calibri"/>
                <w:sz w:val="22"/>
                <w:szCs w:val="22"/>
              </w:rPr>
            </w:pPr>
            <w:r w:rsidRPr="00F67BF7">
              <w:rPr>
                <w:rFonts w:ascii="Calibri" w:hAnsi="Calibri"/>
                <w:sz w:val="22"/>
                <w:szCs w:val="22"/>
              </w:rPr>
              <w:t>2.2.</w:t>
            </w:r>
            <w:r w:rsidR="0068030E" w:rsidRPr="00F67BF7">
              <w:rPr>
                <w:rFonts w:ascii="Calibri" w:hAnsi="Calibri"/>
                <w:sz w:val="22"/>
                <w:szCs w:val="22"/>
              </w:rPr>
              <w:t>6</w:t>
            </w:r>
            <w:r w:rsidR="00435251">
              <w:rPr>
                <w:rFonts w:ascii="Calibri" w:hAnsi="Calibri"/>
                <w:sz w:val="22"/>
                <w:szCs w:val="22"/>
              </w:rPr>
              <w:t>(1)</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75% of business</w:t>
            </w:r>
            <w:r w:rsidR="000F43DF">
              <w:rPr>
                <w:rFonts w:ascii="Calibri" w:hAnsi="Calibri"/>
                <w:sz w:val="22"/>
                <w:szCs w:val="22"/>
              </w:rPr>
              <w: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Pr>
                <w:rFonts w:ascii="Calibri" w:hAnsi="Calibri"/>
                <w:sz w:val="22"/>
                <w:szCs w:val="22"/>
              </w:rPr>
              <w:t>2.2.6 (2)</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Pr>
                <w:rFonts w:ascii="Calibri" w:hAnsi="Calibri"/>
                <w:sz w:val="22"/>
                <w:szCs w:val="22"/>
              </w:rPr>
              <w:t xml:space="preserve">Put investors in a position to make informed assessment </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Pr>
                <w:rFonts w:ascii="Calibri" w:hAnsi="Calibri"/>
                <w:sz w:val="22"/>
                <w:szCs w:val="22"/>
              </w:rPr>
              <w:t>2.2.8 (1)</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1B5A40">
              <w:rPr>
                <w:rFonts w:asciiTheme="minorHAnsi" w:hAnsiTheme="minorHAnsi" w:cstheme="minorHAnsi"/>
                <w:sz w:val="22"/>
                <w:szCs w:val="22"/>
              </w:rPr>
              <w:t>Historical financial information related to acquired entities for 3 years</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Pr>
                <w:rFonts w:ascii="Calibri" w:hAnsi="Calibri"/>
                <w:sz w:val="22"/>
                <w:szCs w:val="22"/>
              </w:rPr>
              <w:t>2.2.8(2)</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1B5A40">
              <w:rPr>
                <w:rFonts w:asciiTheme="minorHAnsi" w:hAnsiTheme="minorHAnsi" w:cstheme="minorHAnsi"/>
                <w:sz w:val="22"/>
                <w:szCs w:val="22"/>
              </w:rPr>
              <w:t>Consistent with accounting policies adopted</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Pr>
                <w:rFonts w:ascii="Calibri" w:hAnsi="Calibri"/>
                <w:sz w:val="22"/>
                <w:szCs w:val="22"/>
              </w:rPr>
              <w:t>2.2.8(3)</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1B5A40">
              <w:rPr>
                <w:rFonts w:asciiTheme="minorHAnsi" w:hAnsiTheme="minorHAnsi" w:cstheme="minorHAnsi"/>
                <w:sz w:val="22"/>
                <w:szCs w:val="22"/>
              </w:rPr>
              <w:t>Not subject to a Modified Report (unless LR 2.2.5 applies)</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Pr>
                <w:rFonts w:ascii="Calibri" w:hAnsi="Calibri"/>
                <w:sz w:val="22"/>
                <w:szCs w:val="22"/>
              </w:rPr>
              <w:t>2.2.8 (4)</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1B5A40">
              <w:rPr>
                <w:rFonts w:asciiTheme="minorHAnsi" w:hAnsiTheme="minorHAnsi" w:cstheme="minorHAnsi"/>
                <w:sz w:val="22"/>
                <w:szCs w:val="22"/>
              </w:rPr>
              <w:t>represents 75% of enlarged business</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sidRPr="00F67BF7">
              <w:rPr>
                <w:rFonts w:ascii="Calibri" w:hAnsi="Calibri"/>
                <w:sz w:val="22"/>
                <w:szCs w:val="22"/>
              </w:rPr>
              <w:t>2.2.24</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Working capital</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sidRPr="00F67BF7">
              <w:rPr>
                <w:rFonts w:ascii="Calibri" w:hAnsi="Calibri"/>
                <w:sz w:val="22"/>
                <w:szCs w:val="22"/>
              </w:rPr>
              <w:t xml:space="preserve">2.2.26(1) </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Banking, Insurance or financial services company</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sz w:val="22"/>
                <w:szCs w:val="22"/>
              </w:rPr>
            </w:pPr>
            <w:r w:rsidRPr="00F67BF7">
              <w:rPr>
                <w:rFonts w:ascii="Calibri" w:hAnsi="Calibri"/>
                <w:sz w:val="22"/>
                <w:szCs w:val="22"/>
              </w:rPr>
              <w:t>2.2.26(2)</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Solvency and capital adequacy is regulated</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bCs/>
                <w:sz w:val="22"/>
                <w:szCs w:val="22"/>
              </w:rPr>
            </w:pPr>
            <w:r w:rsidRPr="00F67BF7">
              <w:rPr>
                <w:rFonts w:ascii="Calibri" w:hAnsi="Calibri"/>
                <w:bCs/>
                <w:sz w:val="22"/>
                <w:szCs w:val="22"/>
              </w:rPr>
              <w:t>2.2.26(3)</w:t>
            </w:r>
            <w:r w:rsidRPr="00F67BF7">
              <w:rPr>
                <w:rFonts w:ascii="Calibri" w:hAnsi="Calibri"/>
                <w:sz w:val="22"/>
                <w:szCs w:val="22"/>
              </w:rPr>
              <w:t xml:space="preserve"> </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Meeting capital adequacy requirements and is expected to do so for 12 months</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bCs/>
                <w:sz w:val="22"/>
                <w:szCs w:val="22"/>
              </w:rPr>
            </w:pPr>
            <w:r w:rsidRPr="00F67BF7">
              <w:rPr>
                <w:rFonts w:ascii="Calibri" w:hAnsi="Calibri"/>
                <w:bCs/>
                <w:sz w:val="22"/>
                <w:szCs w:val="22"/>
              </w:rPr>
              <w:t>2.2.27</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Shares in public hands</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bCs/>
                <w:sz w:val="22"/>
                <w:szCs w:val="22"/>
              </w:rPr>
            </w:pPr>
            <w:r w:rsidRPr="00F67BF7">
              <w:rPr>
                <w:rFonts w:ascii="Calibri" w:hAnsi="Calibri"/>
                <w:bCs/>
                <w:sz w:val="22"/>
                <w:szCs w:val="22"/>
              </w:rPr>
              <w:t>2.2.32</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Warrants limited to 20%</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Del="007922EB" w:rsidRDefault="00F24ACF" w:rsidP="00F24ACF">
            <w:pPr>
              <w:pStyle w:val="ISEMainbodytext"/>
              <w:rPr>
                <w:rFonts w:ascii="Calibri" w:hAnsi="Calibri"/>
                <w:bCs/>
                <w:sz w:val="22"/>
                <w:szCs w:val="22"/>
              </w:rPr>
            </w:pPr>
            <w:r w:rsidRPr="00F67BF7">
              <w:rPr>
                <w:rFonts w:ascii="Calibri" w:hAnsi="Calibri"/>
                <w:bCs/>
                <w:sz w:val="22"/>
                <w:szCs w:val="22"/>
              </w:rPr>
              <w:t xml:space="preserve">2.2.33(1) </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Pre-emption rights – constitution provides at least equivalent rights to LR 6.1.30</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bCs/>
                <w:sz w:val="22"/>
                <w:szCs w:val="22"/>
              </w:rPr>
            </w:pPr>
            <w:r w:rsidRPr="00F67BF7">
              <w:rPr>
                <w:rFonts w:ascii="Calibri" w:hAnsi="Calibri"/>
                <w:bCs/>
                <w:sz w:val="22"/>
                <w:szCs w:val="22"/>
              </w:rPr>
              <w:t xml:space="preserve">2.2.33(2) </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F67BF7">
              <w:rPr>
                <w:rFonts w:ascii="Calibri" w:hAnsi="Calibri"/>
                <w:sz w:val="22"/>
                <w:szCs w:val="22"/>
              </w:rPr>
              <w:t xml:space="preserve">Conferring such rights not incompatible with law of country of incorporation </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F24ACF" w:rsidRPr="00F67BF7" w:rsidRDefault="00F24ACF" w:rsidP="00F24ACF">
            <w:pPr>
              <w:pStyle w:val="ISEMainbodytext"/>
              <w:rPr>
                <w:rFonts w:ascii="Calibri" w:hAnsi="Calibri"/>
                <w:bCs/>
                <w:sz w:val="22"/>
                <w:szCs w:val="22"/>
              </w:rPr>
            </w:pPr>
            <w:r>
              <w:rPr>
                <w:rFonts w:ascii="Calibri" w:hAnsi="Calibri"/>
                <w:bCs/>
                <w:sz w:val="22"/>
                <w:szCs w:val="22"/>
              </w:rPr>
              <w:t>2.2.36</w:t>
            </w:r>
          </w:p>
        </w:tc>
        <w:tc>
          <w:tcPr>
            <w:tcW w:w="2835"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Pr>
                <w:rFonts w:ascii="Calibri" w:hAnsi="Calibri"/>
                <w:sz w:val="22"/>
                <w:szCs w:val="22"/>
              </w:rPr>
              <w:t>Constitution will allow it to comply with LR 6.1.22</w:t>
            </w:r>
          </w:p>
        </w:tc>
        <w:tc>
          <w:tcPr>
            <w:tcW w:w="851"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Del="00CF34BE" w:rsidRDefault="00F24ACF" w:rsidP="00F24ACF">
            <w:pPr>
              <w:pStyle w:val="ISEMainbodytext"/>
              <w:rPr>
                <w:rFonts w:asciiTheme="minorHAnsi" w:hAnsiTheme="minorHAnsi" w:cstheme="minorHAnsi"/>
                <w:bCs/>
                <w:sz w:val="22"/>
                <w:szCs w:val="22"/>
              </w:rPr>
            </w:pP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Del="00CF34BE" w:rsidRDefault="00F24ACF" w:rsidP="00F24ACF">
            <w:pPr>
              <w:pStyle w:val="ISEMainbodytext"/>
              <w:rPr>
                <w:rFonts w:asciiTheme="minorHAnsi" w:hAnsiTheme="minorHAnsi" w:cstheme="minorHAnsi"/>
                <w:b/>
                <w:sz w:val="22"/>
                <w:szCs w:val="22"/>
              </w:rPr>
            </w:pPr>
            <w:r w:rsidRPr="00536811">
              <w:rPr>
                <w:rFonts w:asciiTheme="minorHAnsi" w:hAnsiTheme="minorHAnsi" w:cstheme="minorHAnsi"/>
                <w:b/>
                <w:sz w:val="22"/>
                <w:szCs w:val="22"/>
              </w:rPr>
              <w:t xml:space="preserve">If a REIT that satisfies the definition of real estate investment trust in Part 25A of the Finance Act 2013 (or </w:t>
            </w:r>
            <w:r w:rsidRPr="00536811">
              <w:rPr>
                <w:rFonts w:asciiTheme="minorHAnsi" w:hAnsiTheme="minorHAnsi" w:cstheme="minorHAnsi"/>
                <w:b/>
                <w:sz w:val="22"/>
                <w:szCs w:val="22"/>
              </w:rPr>
              <w:lastRenderedPageBreak/>
              <w:t xml:space="preserve">equivalent), seeks a listing on Euronext Dublin, the following additional conditions apply: </w:t>
            </w:r>
            <w:r w:rsidRPr="00536811">
              <w:rPr>
                <w:rFonts w:asciiTheme="minorHAnsi" w:hAnsiTheme="minorHAnsi" w:cstheme="minorHAnsi"/>
                <w:b/>
                <w:sz w:val="22"/>
                <w:szCs w:val="22"/>
              </w:rPr>
              <w:br/>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Del="00CF34BE" w:rsidRDefault="00F24ACF" w:rsidP="00F24ACF">
            <w:pPr>
              <w:pStyle w:val="ISEMainbodytext"/>
              <w:rPr>
                <w:rFonts w:asciiTheme="minorHAnsi" w:hAnsiTheme="minorHAnsi" w:cstheme="minorHAnsi"/>
                <w:b/>
                <w:bCs/>
                <w:sz w:val="22"/>
                <w:szCs w:val="22"/>
              </w:rPr>
            </w:pPr>
            <w:r w:rsidRPr="00536811">
              <w:rPr>
                <w:rFonts w:asciiTheme="minorHAnsi" w:hAnsiTheme="minorHAnsi" w:cstheme="minorHAnsi"/>
                <w:b/>
                <w:bCs/>
                <w:sz w:val="22"/>
                <w:szCs w:val="22"/>
              </w:rPr>
              <w:t>Rule 2.10  Book II</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b/>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2.10.5</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Suitable investment manager</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2.10.6</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Discretion of board not limited to person outside of issuer’s group</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2.10.7</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Directors and senior management have appropriate expertise and experience</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2.10.8</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Directors free of conflicts</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2.10.9</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Board able to act independently</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2.10.10 (1)</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Chairman to be independent</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 xml:space="preserve">2.10.10 (2) </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Majority of board independent</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 xml:space="preserve">2.10.11(1)(a) </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Directors, employees, partners, officers or professional advisers of </w:t>
            </w:r>
            <w:r w:rsidR="00D9722E">
              <w:rPr>
                <w:rFonts w:asciiTheme="minorHAnsi" w:hAnsiTheme="minorHAnsi" w:cstheme="minorHAnsi"/>
                <w:sz w:val="22"/>
                <w:szCs w:val="22"/>
              </w:rPr>
              <w:t xml:space="preserve">or to </w:t>
            </w:r>
            <w:r w:rsidRPr="00536811">
              <w:rPr>
                <w:rFonts w:asciiTheme="minorHAnsi" w:hAnsiTheme="minorHAnsi" w:cstheme="minorHAnsi"/>
                <w:sz w:val="22"/>
                <w:szCs w:val="22"/>
              </w:rPr>
              <w:t>investment manager not independent</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2.10.11(1)(b)</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Directors, employees, partners, officers or professional advisers </w:t>
            </w:r>
            <w:r w:rsidR="00D9722E">
              <w:rPr>
                <w:rFonts w:asciiTheme="minorHAnsi" w:hAnsiTheme="minorHAnsi" w:cstheme="minorHAnsi"/>
                <w:sz w:val="22"/>
                <w:szCs w:val="22"/>
              </w:rPr>
              <w:t xml:space="preserve">of or to </w:t>
            </w:r>
            <w:r w:rsidRPr="00536811">
              <w:rPr>
                <w:rFonts w:asciiTheme="minorHAnsi" w:hAnsiTheme="minorHAnsi" w:cstheme="minorHAnsi"/>
                <w:sz w:val="22"/>
                <w:szCs w:val="22"/>
              </w:rPr>
              <w:t>any related company not independent</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bookmarkStart w:id="1" w:name="_GoBack"/>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bookmarkEnd w:id="1"/>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2.10.11(2)(a)</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Directors, employees, partners, officers or professional advisers of or to other investment companies or funds managed by same investment manager, not independent</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lastRenderedPageBreak/>
              <w:t xml:space="preserve">2.10.11(2)(b) </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Directors, employees, partners, officers or professional advisers of or to other investment companies or funds managed by a related company in same group as investment manager,  not independent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2.10.12</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Related directors subject to annual re-election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Pr>
                <w:rFonts w:asciiTheme="minorHAnsi" w:hAnsiTheme="minorHAnsi" w:cstheme="minorHAnsi"/>
                <w:bCs/>
                <w:sz w:val="22"/>
                <w:szCs w:val="22"/>
              </w:rPr>
              <w:t>2.10.13</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Pr>
                <w:rFonts w:asciiTheme="minorHAnsi" w:hAnsiTheme="minorHAnsi" w:cstheme="minorHAnsi"/>
                <w:sz w:val="22"/>
                <w:szCs w:val="22"/>
              </w:rPr>
              <w:t>Carry on business independently of controlling shareholder</w:t>
            </w:r>
          </w:p>
        </w:tc>
        <w:tc>
          <w:tcPr>
            <w:tcW w:w="851" w:type="dxa"/>
            <w:tcBorders>
              <w:top w:val="single" w:sz="4" w:space="0" w:color="2E6D30"/>
              <w:left w:val="single" w:sz="4" w:space="0" w:color="2E6D30"/>
              <w:bottom w:val="single" w:sz="4" w:space="0" w:color="2E6D30"/>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F67BF7" w:rsidRDefault="00F24ACF" w:rsidP="00F24A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b/>
                <w:sz w:val="22"/>
                <w:szCs w:val="22"/>
              </w:rPr>
            </w:pPr>
            <w:r w:rsidRPr="00536811">
              <w:rPr>
                <w:rFonts w:asciiTheme="minorHAnsi" w:hAnsiTheme="minorHAnsi" w:cstheme="minorHAnsi"/>
                <w:b/>
                <w:sz w:val="22"/>
                <w:szCs w:val="22"/>
              </w:rPr>
              <w:t xml:space="preserve">And, if REIT is newly established: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2.10.15</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Demonstration of significant market capitalisation </w:t>
            </w:r>
            <w:r>
              <w:rPr>
                <w:rFonts w:asciiTheme="minorHAnsi" w:hAnsiTheme="minorHAnsi" w:cstheme="minorHAnsi"/>
                <w:sz w:val="22"/>
                <w:szCs w:val="22"/>
              </w:rPr>
              <w:t xml:space="preserve"> (€100 million)</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2.10.16</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Invest in way that is consistent with investment policy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2.10.17(1)</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Published investment policy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 xml:space="preserve">2.10.17(2) </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Clear quantitative information on investment strategy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2.10.18</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Directors to have appropriate experience and expertise (unless LR 2.10.5 applies)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r w:rsidR="00F24ACF" w:rsidRPr="00536811"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F24ACF" w:rsidRPr="00536811" w:rsidRDefault="00F24ACF" w:rsidP="00F24ACF">
            <w:pPr>
              <w:pStyle w:val="ISEMainbodytext"/>
              <w:rPr>
                <w:rFonts w:asciiTheme="minorHAnsi" w:hAnsiTheme="minorHAnsi" w:cstheme="minorHAnsi"/>
                <w:bCs/>
                <w:sz w:val="22"/>
                <w:szCs w:val="22"/>
              </w:rPr>
            </w:pPr>
            <w:r w:rsidRPr="00536811">
              <w:rPr>
                <w:rFonts w:asciiTheme="minorHAnsi" w:hAnsiTheme="minorHAnsi" w:cstheme="minorHAnsi"/>
                <w:bCs/>
                <w:sz w:val="22"/>
                <w:szCs w:val="22"/>
              </w:rPr>
              <w:t>2.10.19</w:t>
            </w:r>
          </w:p>
        </w:tc>
        <w:tc>
          <w:tcPr>
            <w:tcW w:w="2835"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pStyle w:val="ISEMainbodytext"/>
              <w:rPr>
                <w:rFonts w:asciiTheme="minorHAnsi" w:hAnsiTheme="minorHAnsi" w:cstheme="minorHAnsi"/>
                <w:sz w:val="22"/>
                <w:szCs w:val="22"/>
              </w:rPr>
            </w:pPr>
            <w:r w:rsidRPr="00536811">
              <w:rPr>
                <w:rFonts w:asciiTheme="minorHAnsi" w:hAnsiTheme="minorHAnsi" w:cstheme="minorHAnsi"/>
                <w:sz w:val="22"/>
                <w:szCs w:val="22"/>
              </w:rPr>
              <w:t xml:space="preserve">All directors, existing substantial shareholders, investment managers and promoters not to dispose of shares for a period of one year </w:t>
            </w:r>
          </w:p>
        </w:tc>
        <w:tc>
          <w:tcPr>
            <w:tcW w:w="851"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F24ACF" w:rsidRPr="00536811" w:rsidRDefault="00F24ACF" w:rsidP="00F24ACF">
            <w:pPr>
              <w:rPr>
                <w:rFonts w:asciiTheme="minorHAnsi" w:hAnsiTheme="minorHAnsi" w:cstheme="minorHAnsi"/>
                <w:sz w:val="22"/>
                <w:szCs w:val="22"/>
              </w:rPr>
            </w:pPr>
            <w:r w:rsidRPr="00536811">
              <w:rPr>
                <w:rFonts w:asciiTheme="minorHAnsi" w:hAnsiTheme="minorHAnsi" w:cstheme="minorHAnsi"/>
                <w:sz w:val="22"/>
                <w:szCs w:val="22"/>
              </w:rPr>
              <w:fldChar w:fldCharType="begin">
                <w:ffData>
                  <w:name w:val="Text1"/>
                  <w:enabled/>
                  <w:calcOnExit w:val="0"/>
                  <w:textInput/>
                </w:ffData>
              </w:fldChar>
            </w:r>
            <w:r w:rsidRPr="00536811">
              <w:rPr>
                <w:rFonts w:asciiTheme="minorHAnsi" w:hAnsiTheme="minorHAnsi" w:cstheme="minorHAnsi"/>
                <w:sz w:val="22"/>
                <w:szCs w:val="22"/>
              </w:rPr>
              <w:instrText xml:space="preserve"> FORMTEXT </w:instrText>
            </w:r>
            <w:r w:rsidRPr="00536811">
              <w:rPr>
                <w:rFonts w:asciiTheme="minorHAnsi" w:hAnsiTheme="minorHAnsi" w:cstheme="minorHAnsi"/>
                <w:sz w:val="22"/>
                <w:szCs w:val="22"/>
              </w:rPr>
            </w:r>
            <w:r w:rsidRPr="00536811">
              <w:rPr>
                <w:rFonts w:asciiTheme="minorHAnsi" w:hAnsiTheme="minorHAnsi" w:cstheme="minorHAnsi"/>
                <w:sz w:val="22"/>
                <w:szCs w:val="22"/>
              </w:rPr>
              <w:fldChar w:fldCharType="separate"/>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eastAsia="MS Mincho" w:hAnsiTheme="minorHAnsi" w:cstheme="minorHAnsi"/>
                <w:sz w:val="22"/>
                <w:szCs w:val="22"/>
              </w:rPr>
              <w:t> </w:t>
            </w:r>
            <w:r w:rsidRPr="00536811">
              <w:rPr>
                <w:rFonts w:asciiTheme="minorHAnsi" w:hAnsiTheme="minorHAnsi" w:cstheme="minorHAnsi"/>
                <w:sz w:val="22"/>
                <w:szCs w:val="22"/>
              </w:rPr>
              <w:fldChar w:fldCharType="end"/>
            </w:r>
          </w:p>
        </w:tc>
      </w:tr>
    </w:tbl>
    <w:p w:rsidR="00C730E6" w:rsidRDefault="00C730E6">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77156C" w:rsidRPr="00F67BF7" w:rsidTr="00E07F83">
        <w:trPr>
          <w:trHeight w:val="397"/>
        </w:trPr>
        <w:tc>
          <w:tcPr>
            <w:tcW w:w="8392" w:type="dxa"/>
            <w:gridSpan w:val="2"/>
            <w:tcBorders>
              <w:top w:val="nil"/>
              <w:left w:val="nil"/>
              <w:bottom w:val="nil"/>
              <w:right w:val="nil"/>
            </w:tcBorders>
            <w:tcMar>
              <w:left w:w="0" w:type="dxa"/>
              <w:right w:w="0" w:type="dxa"/>
            </w:tcMar>
          </w:tcPr>
          <w:p w:rsidR="0077156C" w:rsidRPr="00F67BF7" w:rsidRDefault="0077156C" w:rsidP="007C041F">
            <w:pPr>
              <w:pStyle w:val="ISESubheadingNoRuleabove"/>
              <w:rPr>
                <w:rFonts w:ascii="Calibri" w:hAnsi="Calibri"/>
                <w:sz w:val="22"/>
                <w:szCs w:val="22"/>
                <w:lang w:val="en-IE"/>
              </w:rPr>
            </w:pPr>
            <w:r w:rsidRPr="00F67BF7">
              <w:rPr>
                <w:rFonts w:ascii="Calibri" w:hAnsi="Calibri"/>
                <w:sz w:val="22"/>
                <w:szCs w:val="22"/>
              </w:rPr>
              <w:lastRenderedPageBreak/>
              <w:t>Non-applicability Confirmation</w:t>
            </w:r>
          </w:p>
        </w:tc>
      </w:tr>
      <w:tr w:rsidR="0077156C" w:rsidRPr="00F67BF7" w:rsidTr="00C730E6">
        <w:trPr>
          <w:trHeight w:val="397"/>
        </w:trPr>
        <w:tc>
          <w:tcPr>
            <w:tcW w:w="8392" w:type="dxa"/>
            <w:gridSpan w:val="2"/>
            <w:tcBorders>
              <w:top w:val="nil"/>
              <w:left w:val="nil"/>
              <w:bottom w:val="nil"/>
              <w:right w:val="nil"/>
            </w:tcBorders>
            <w:tcMar>
              <w:left w:w="0" w:type="dxa"/>
              <w:right w:w="0" w:type="dxa"/>
            </w:tcMar>
          </w:tcPr>
          <w:p w:rsidR="0077156C" w:rsidRPr="00F67BF7" w:rsidRDefault="00094D7E" w:rsidP="000B64A6">
            <w:pPr>
              <w:pStyle w:val="ISEMainbodytext"/>
              <w:rPr>
                <w:rFonts w:ascii="Calibri" w:hAnsi="Calibri"/>
                <w:sz w:val="22"/>
                <w:szCs w:val="22"/>
              </w:rPr>
            </w:pPr>
            <w:r w:rsidRPr="00F67BF7">
              <w:rPr>
                <w:rFonts w:ascii="Calibri" w:hAnsi="Calibri"/>
                <w:sz w:val="22"/>
                <w:szCs w:val="22"/>
              </w:rPr>
              <w:t>We inform you that items marked ‘N/A’ in the Page column of the above checklist are considered not applicable and no equivalent information is available.</w:t>
            </w:r>
          </w:p>
        </w:tc>
      </w:tr>
      <w:tr w:rsidR="00C730E6" w:rsidRPr="00F67BF7" w:rsidTr="00C730E6">
        <w:trPr>
          <w:trHeight w:hRule="exact" w:val="397"/>
        </w:trPr>
        <w:tc>
          <w:tcPr>
            <w:tcW w:w="8392" w:type="dxa"/>
            <w:gridSpan w:val="2"/>
            <w:tcBorders>
              <w:top w:val="nil"/>
              <w:left w:val="nil"/>
              <w:bottom w:val="nil"/>
              <w:right w:val="nil"/>
            </w:tcBorders>
            <w:tcMar>
              <w:left w:w="0" w:type="dxa"/>
              <w:right w:w="0" w:type="dxa"/>
            </w:tcMar>
          </w:tcPr>
          <w:p w:rsidR="00C730E6" w:rsidRPr="00F67BF7" w:rsidRDefault="00C730E6" w:rsidP="00F204F9">
            <w:pPr>
              <w:pStyle w:val="ISETableColumnHeading"/>
              <w:rPr>
                <w:rFonts w:ascii="Calibri" w:hAnsi="Calibri"/>
                <w:sz w:val="22"/>
                <w:szCs w:val="22"/>
              </w:rPr>
            </w:pPr>
          </w:p>
        </w:tc>
      </w:tr>
      <w:tr w:rsidR="0077156C" w:rsidRPr="00F67BF7" w:rsidTr="00C730E6">
        <w:trPr>
          <w:trHeight w:hRule="exact" w:val="397"/>
        </w:trPr>
        <w:tc>
          <w:tcPr>
            <w:tcW w:w="8392" w:type="dxa"/>
            <w:gridSpan w:val="2"/>
            <w:tcBorders>
              <w:top w:val="nil"/>
              <w:left w:val="nil"/>
              <w:bottom w:val="single" w:sz="8" w:space="0" w:color="2E6D30"/>
              <w:right w:val="nil"/>
            </w:tcBorders>
            <w:tcMar>
              <w:left w:w="0" w:type="dxa"/>
              <w:right w:w="0" w:type="dxa"/>
            </w:tcMar>
          </w:tcPr>
          <w:p w:rsidR="0077156C" w:rsidRPr="00F67BF7" w:rsidRDefault="0077156C" w:rsidP="00F204F9">
            <w:pPr>
              <w:pStyle w:val="ISETableColumnHeading"/>
              <w:rPr>
                <w:rFonts w:ascii="Calibri" w:hAnsi="Calibri"/>
                <w:sz w:val="22"/>
                <w:szCs w:val="22"/>
              </w:rPr>
            </w:pPr>
            <w:r w:rsidRPr="00F67BF7">
              <w:rPr>
                <w:rFonts w:ascii="Calibri" w:hAnsi="Calibri"/>
                <w:sz w:val="22"/>
                <w:szCs w:val="22"/>
              </w:rPr>
              <w:t>Signed by</w:t>
            </w:r>
          </w:p>
        </w:tc>
      </w:tr>
      <w:tr w:rsidR="005653CC" w:rsidRPr="00F67BF7" w:rsidTr="005653CC">
        <w:trPr>
          <w:trHeight w:hRule="exact" w:val="397"/>
        </w:trPr>
        <w:tc>
          <w:tcPr>
            <w:tcW w:w="2098" w:type="dxa"/>
            <w:tcBorders>
              <w:top w:val="single" w:sz="8" w:space="0" w:color="2E6D30"/>
              <w:left w:val="nil"/>
              <w:bottom w:val="nil"/>
              <w:right w:val="nil"/>
            </w:tcBorders>
            <w:tcMar>
              <w:left w:w="0" w:type="dxa"/>
              <w:right w:w="0" w:type="dxa"/>
            </w:tcMar>
          </w:tcPr>
          <w:p w:rsidR="005653CC" w:rsidRPr="00F67BF7" w:rsidRDefault="005653CC" w:rsidP="00F204F9">
            <w:pPr>
              <w:pStyle w:val="ISEMainbodytext"/>
              <w:rPr>
                <w:rFonts w:ascii="Calibri" w:hAnsi="Calibri"/>
                <w:sz w:val="22"/>
                <w:szCs w:val="22"/>
                <w:lang w:val="en-IE"/>
              </w:rPr>
            </w:pPr>
          </w:p>
        </w:tc>
        <w:tc>
          <w:tcPr>
            <w:tcW w:w="6294" w:type="dxa"/>
            <w:tcBorders>
              <w:top w:val="single" w:sz="8" w:space="0" w:color="2E6D30"/>
              <w:left w:val="nil"/>
              <w:bottom w:val="nil"/>
              <w:right w:val="nil"/>
            </w:tcBorders>
          </w:tcPr>
          <w:p w:rsidR="005653CC" w:rsidRPr="00F67BF7" w:rsidRDefault="005653CC" w:rsidP="00F204F9">
            <w:pPr>
              <w:pStyle w:val="ISEMainbodytextBold"/>
              <w:rPr>
                <w:rFonts w:ascii="Calibri" w:hAnsi="Calibri"/>
                <w:sz w:val="22"/>
                <w:szCs w:val="22"/>
              </w:rPr>
            </w:pPr>
          </w:p>
        </w:tc>
      </w:tr>
      <w:tr w:rsidR="0077156C" w:rsidRPr="00F67BF7" w:rsidTr="005653CC">
        <w:trPr>
          <w:trHeight w:hRule="exact" w:val="397"/>
        </w:trPr>
        <w:tc>
          <w:tcPr>
            <w:tcW w:w="2098" w:type="dxa"/>
            <w:tcBorders>
              <w:top w:val="nil"/>
              <w:left w:val="nil"/>
              <w:bottom w:val="single" w:sz="8" w:space="0" w:color="2E6D30"/>
              <w:right w:val="nil"/>
            </w:tcBorders>
            <w:tcMar>
              <w:left w:w="0" w:type="dxa"/>
              <w:right w:w="0" w:type="dxa"/>
            </w:tcMar>
          </w:tcPr>
          <w:p w:rsidR="0077156C" w:rsidRPr="00F67BF7" w:rsidRDefault="0077156C" w:rsidP="00F204F9">
            <w:pPr>
              <w:pStyle w:val="ISEMainbodytext"/>
              <w:rPr>
                <w:rFonts w:ascii="Calibri" w:hAnsi="Calibri"/>
                <w:sz w:val="22"/>
                <w:szCs w:val="22"/>
              </w:rPr>
            </w:pPr>
            <w:r w:rsidRPr="00F67BF7">
              <w:rPr>
                <w:rFonts w:ascii="Calibri" w:hAnsi="Calibri"/>
                <w:sz w:val="22"/>
                <w:szCs w:val="22"/>
                <w:lang w:val="en-IE"/>
              </w:rPr>
              <w:t>on behalf of</w:t>
            </w:r>
          </w:p>
        </w:tc>
        <w:tc>
          <w:tcPr>
            <w:tcW w:w="6294" w:type="dxa"/>
            <w:tcBorders>
              <w:top w:val="nil"/>
              <w:left w:val="nil"/>
              <w:bottom w:val="single" w:sz="8" w:space="0" w:color="2E6D30"/>
              <w:right w:val="nil"/>
            </w:tcBorders>
          </w:tcPr>
          <w:p w:rsidR="0077156C" w:rsidRPr="00F67BF7" w:rsidRDefault="0077156C" w:rsidP="00F204F9">
            <w:pPr>
              <w:pStyle w:val="ISEMainbodytextBold"/>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bl>
    <w:p w:rsidR="000B64A6" w:rsidRPr="00F67BF7" w:rsidRDefault="000B64A6" w:rsidP="00B03847">
      <w:pPr>
        <w:pStyle w:val="spacingreturntopofpage"/>
        <w:tabs>
          <w:tab w:val="left" w:pos="3192"/>
        </w:tabs>
        <w:rPr>
          <w:rFonts w:ascii="Calibri" w:hAnsi="Calibri"/>
          <w:sz w:val="22"/>
          <w:szCs w:val="22"/>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Pr="00536811" w:rsidRDefault="00FF2835" w:rsidP="00F67BF7">
      <w:pPr>
        <w:pStyle w:val="ISEMainbodytext"/>
        <w:spacing w:line="240" w:lineRule="auto"/>
        <w:rPr>
          <w:rFonts w:ascii="Calibri" w:hAnsi="Calibri" w:cs="Calibri"/>
          <w:sz w:val="18"/>
          <w:szCs w:val="18"/>
        </w:rPr>
      </w:pPr>
      <w:r w:rsidRPr="00536811">
        <w:rPr>
          <w:rFonts w:ascii="Calibri" w:hAnsi="Calibri" w:cs="Calibri"/>
          <w:sz w:val="18"/>
          <w:szCs w:val="18"/>
        </w:rPr>
        <w:t xml:space="preserve">Your attention is drawn to the Privacy Statement of the Irish Stock Exchange trading as Euronext Dublin, accessible at: </w:t>
      </w:r>
      <w:hyperlink r:id="rId7" w:history="1">
        <w:r w:rsidRPr="00536811">
          <w:rPr>
            <w:rStyle w:val="Hyperlink"/>
            <w:rFonts w:ascii="Calibri" w:hAnsi="Calibri" w:cs="Calibri"/>
            <w:sz w:val="18"/>
            <w:szCs w:val="18"/>
          </w:rPr>
          <w:t>http://www.ise.ie/Privacy-Statement/</w:t>
        </w:r>
      </w:hyperlink>
      <w:r w:rsidRPr="00536811">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FF2835" w:rsidRPr="00536811"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CE" w:rsidRDefault="00C966CE">
      <w:r>
        <w:separator/>
      </w:r>
    </w:p>
  </w:endnote>
  <w:endnote w:type="continuationSeparator" w:id="0">
    <w:p w:rsidR="00C966CE" w:rsidRDefault="00C9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CE" w:rsidRPr="00536811" w:rsidRDefault="00C966CE" w:rsidP="00307B2F">
    <w:pPr>
      <w:pStyle w:val="ISEFooterGreen"/>
      <w:rPr>
        <w:rFonts w:ascii="Calibri" w:hAnsi="Calibri" w:cs="Calibri"/>
        <w:sz w:val="18"/>
        <w:szCs w:val="18"/>
      </w:rPr>
    </w:pPr>
    <w:r w:rsidRPr="00536811">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6CE" w:rsidRPr="003170E2" w:rsidRDefault="00C966CE"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T6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GOvT6rAIAAKkFAAAOAAAA&#10;AAAAAAAAAAAAAC4CAABkcnMvZTJvRG9jLnhtbFBLAQItABQABgAIAAAAIQA7xJX/4QAAAA0BAAAP&#10;AAAAAAAAAAAAAAAAAAYFAABkcnMvZG93bnJldi54bWxQSwUGAAAAAAQABADzAAAAFAYAAAAA&#10;" filled="f" stroked="f">
              <v:textbox inset="0,0,0,0">
                <w:txbxContent>
                  <w:p w:rsidR="000F43DF" w:rsidRPr="003170E2" w:rsidRDefault="000F43DF"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F6EEB">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F6EEB">
                      <w:rPr>
                        <w:b w:val="0"/>
                        <w:noProof/>
                      </w:rPr>
                      <w:t>6</w:t>
                    </w:r>
                    <w:r w:rsidRPr="003170E2">
                      <w:rPr>
                        <w:b w:val="0"/>
                      </w:rPr>
                      <w:fldChar w:fldCharType="end"/>
                    </w:r>
                  </w:p>
                </w:txbxContent>
              </v:textbox>
              <w10:wrap anchorx="page" anchory="page"/>
              <w10:anchorlock/>
            </v:shape>
          </w:pict>
        </mc:Fallback>
      </mc:AlternateContent>
    </w:r>
    <w:r w:rsidRPr="00536811">
      <w:rPr>
        <w:rFonts w:ascii="Calibri" w:hAnsi="Calibri" w:cs="Calibri"/>
        <w:sz w:val="18"/>
        <w:szCs w:val="18"/>
      </w:rPr>
      <w:t xml:space="preserve">Submit completed form to </w:t>
    </w:r>
    <w:hyperlink r:id="rId1" w:history="1">
      <w:r w:rsidRPr="00536811">
        <w:rPr>
          <w:rStyle w:val="Hyperlink"/>
          <w:rFonts w:ascii="Calibri" w:hAnsi="Calibri" w:cs="Calibri"/>
          <w:sz w:val="18"/>
          <w:szCs w:val="18"/>
        </w:rPr>
        <w:t>equity@</w:t>
      </w:r>
      <w:r w:rsidR="00CE08D5">
        <w:rPr>
          <w:rStyle w:val="Hyperlink"/>
          <w:rFonts w:ascii="Calibri" w:hAnsi="Calibri" w:cs="Calibri"/>
          <w:sz w:val="18"/>
          <w:szCs w:val="18"/>
        </w:rPr>
        <w:t>euronext.com</w:t>
      </w:r>
    </w:hyperlink>
    <w:r w:rsidRPr="00536811">
      <w:rPr>
        <w:rFonts w:ascii="Calibri" w:hAnsi="Calibri" w:cs="Calibri"/>
        <w:sz w:val="18"/>
        <w:szCs w:val="18"/>
      </w:rPr>
      <w:t xml:space="preserve"> in PDF form</w:t>
    </w:r>
  </w:p>
  <w:p w:rsidR="00C966CE" w:rsidRPr="00F315CD" w:rsidRDefault="00C966CE" w:rsidP="00307B2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CE" w:rsidRPr="00536811" w:rsidRDefault="00C966CE" w:rsidP="00307B2F">
    <w:pPr>
      <w:pStyle w:val="ISEFooterGreen"/>
      <w:rPr>
        <w:rFonts w:ascii="Calibri" w:hAnsi="Calibri" w:cs="Calibri"/>
        <w:sz w:val="18"/>
        <w:szCs w:val="18"/>
      </w:rPr>
    </w:pPr>
    <w:r w:rsidRPr="00536811">
      <w:rPr>
        <w:rFonts w:ascii="Calibri" w:hAnsi="Calibri" w:cs="Calibri"/>
        <w:noProof/>
        <w:sz w:val="18"/>
        <w:szCs w:val="18"/>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6CE" w:rsidRPr="003170E2" w:rsidRDefault="00C966CE"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atrQ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GtlWra0CAACwBQAADgAA&#10;AAAAAAAAAAAAAAAuAgAAZHJzL2Uyb0RvYy54bWxQSwECLQAUAAYACAAAACEAO8SV/+EAAAANAQAA&#10;DwAAAAAAAAAAAAAAAAAHBQAAZHJzL2Rvd25yZXYueG1sUEsFBgAAAAAEAAQA8wAAABUGAAAAAA==&#10;" filled="f" stroked="f">
              <v:textbox inset="0,0,0,0">
                <w:txbxContent>
                  <w:p w:rsidR="000F43DF" w:rsidRPr="003170E2" w:rsidRDefault="000F43DF"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F6EEB">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F6EEB">
                      <w:rPr>
                        <w:b w:val="0"/>
                        <w:noProof/>
                      </w:rPr>
                      <w:t>6</w:t>
                    </w:r>
                    <w:r w:rsidRPr="003170E2">
                      <w:rPr>
                        <w:b w:val="0"/>
                      </w:rPr>
                      <w:fldChar w:fldCharType="end"/>
                    </w:r>
                  </w:p>
                </w:txbxContent>
              </v:textbox>
              <w10:wrap anchorx="page" anchory="page"/>
              <w10:anchorlock/>
            </v:shape>
          </w:pict>
        </mc:Fallback>
      </mc:AlternateContent>
    </w:r>
    <w:r w:rsidRPr="00536811">
      <w:rPr>
        <w:rFonts w:ascii="Calibri" w:hAnsi="Calibri" w:cs="Calibri"/>
        <w:sz w:val="18"/>
        <w:szCs w:val="18"/>
      </w:rPr>
      <w:t xml:space="preserve">Submit completed form to </w:t>
    </w:r>
    <w:hyperlink r:id="rId1" w:history="1">
      <w:r w:rsidR="00CE08D5" w:rsidRPr="0077005A">
        <w:rPr>
          <w:rStyle w:val="Hyperlink"/>
          <w:rFonts w:ascii="Calibri" w:hAnsi="Calibri" w:cs="Calibri"/>
          <w:sz w:val="18"/>
          <w:szCs w:val="18"/>
        </w:rPr>
        <w:t>equity@euronext.com</w:t>
      </w:r>
    </w:hyperlink>
    <w:r w:rsidRPr="00536811">
      <w:rPr>
        <w:rFonts w:ascii="Calibri" w:hAnsi="Calibri" w:cs="Calibri"/>
        <w:sz w:val="18"/>
        <w:szCs w:val="18"/>
      </w:rPr>
      <w:t xml:space="preserve"> in PDF form</w:t>
    </w:r>
  </w:p>
  <w:p w:rsidR="00C966CE" w:rsidRPr="00F315CD" w:rsidRDefault="00C966CE" w:rsidP="00307B2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CE" w:rsidRDefault="00C966CE">
      <w:r>
        <w:separator/>
      </w:r>
    </w:p>
  </w:footnote>
  <w:footnote w:type="continuationSeparator" w:id="0">
    <w:p w:rsidR="00C966CE" w:rsidRDefault="00C9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CE" w:rsidRPr="00F67BF7" w:rsidRDefault="00C966CE" w:rsidP="00997F5A">
    <w:pPr>
      <w:pStyle w:val="ISEHeader"/>
      <w:rPr>
        <w:rFonts w:asciiTheme="minorHAnsi" w:hAnsiTheme="minorHAnsi"/>
        <w:sz w:val="18"/>
        <w:szCs w:val="18"/>
      </w:rPr>
    </w:pPr>
    <w:r w:rsidRPr="00F67BF7">
      <w:rPr>
        <w:rFonts w:asciiTheme="minorHAnsi" w:hAnsi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7843"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F67BF7">
      <w:rPr>
        <w:rFonts w:asciiTheme="minorHAnsi" w:hAnsiTheme="minorHAnsi"/>
        <w:noProof/>
        <w:sz w:val="18"/>
        <w:szCs w:val="18"/>
      </w:rPr>
      <w:t>Euronext Dublin</w:t>
    </w:r>
    <w:r w:rsidRPr="00F67BF7">
      <w:rPr>
        <w:rFonts w:asciiTheme="minorHAnsi" w:hAnsiTheme="minorHAnsi"/>
        <w:sz w:val="18"/>
        <w:szCs w:val="18"/>
      </w:rPr>
      <w:t xml:space="preserve"> – Listing Conditions–Primary Checklist</w:t>
    </w:r>
    <w:r>
      <w:rPr>
        <w:rFonts w:asciiTheme="minorHAnsi" w:hAnsiTheme="minorHAnsi"/>
        <w:sz w:val="18"/>
        <w:szCs w:val="18"/>
      </w:rPr>
      <w:t xml:space="preserve"> REIT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CE" w:rsidRDefault="00C966CE">
    <w:r>
      <w:rPr>
        <w:rFonts w:ascii="Arial" w:hAnsi="Arial" w:cs="Arial"/>
        <w:noProof/>
        <w:color w:val="44546A"/>
        <w:sz w:val="20"/>
        <w:szCs w:val="20"/>
        <w:lang w:val="en-IE" w:eastAsia="en-IE"/>
      </w:rPr>
      <w:drawing>
        <wp:inline distT="0" distB="0" distL="0" distR="0">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07A5677"/>
    <w:multiLevelType w:val="hybridMultilevel"/>
    <w:tmpl w:val="E9305284"/>
    <w:lvl w:ilvl="0" w:tplc="23A24C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8"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IydFq5ufkuEIBhiB5Ci1GeiDT6NRMuh+sB0BHIH1PHb41fmGZFPrJo1C9C9tYpCPcKuQ9BIvMI4hwMA8iAQA==" w:salt="eQw4R353FWwxtwF1loVNfA=="/>
  <w:defaultTabStop w:val="720"/>
  <w:characterSpacingControl w:val="doNotCompress"/>
  <w:hdrShapeDefaults>
    <o:shapedefaults v:ext="edit" spidmax="16385"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D1"/>
    <w:rsid w:val="00002621"/>
    <w:rsid w:val="000135CC"/>
    <w:rsid w:val="0001361F"/>
    <w:rsid w:val="00017EBB"/>
    <w:rsid w:val="000245A5"/>
    <w:rsid w:val="00024990"/>
    <w:rsid w:val="00043D18"/>
    <w:rsid w:val="00074687"/>
    <w:rsid w:val="000829D6"/>
    <w:rsid w:val="00083824"/>
    <w:rsid w:val="00094D7E"/>
    <w:rsid w:val="000A517D"/>
    <w:rsid w:val="000A709A"/>
    <w:rsid w:val="000B64A6"/>
    <w:rsid w:val="000B7D10"/>
    <w:rsid w:val="000E1743"/>
    <w:rsid w:val="000E6AB2"/>
    <w:rsid w:val="000F43DF"/>
    <w:rsid w:val="000F708A"/>
    <w:rsid w:val="00105A3F"/>
    <w:rsid w:val="00126FD2"/>
    <w:rsid w:val="001441FD"/>
    <w:rsid w:val="001552BA"/>
    <w:rsid w:val="00167893"/>
    <w:rsid w:val="001717F8"/>
    <w:rsid w:val="001739E6"/>
    <w:rsid w:val="001840F9"/>
    <w:rsid w:val="0018419F"/>
    <w:rsid w:val="00186F95"/>
    <w:rsid w:val="001969A8"/>
    <w:rsid w:val="001A26DA"/>
    <w:rsid w:val="001B791B"/>
    <w:rsid w:val="001C6E25"/>
    <w:rsid w:val="001E2340"/>
    <w:rsid w:val="001F67ED"/>
    <w:rsid w:val="001F6DA6"/>
    <w:rsid w:val="002142CC"/>
    <w:rsid w:val="00221430"/>
    <w:rsid w:val="0022342B"/>
    <w:rsid w:val="0022507F"/>
    <w:rsid w:val="002562CF"/>
    <w:rsid w:val="00265A1B"/>
    <w:rsid w:val="00286618"/>
    <w:rsid w:val="002945EF"/>
    <w:rsid w:val="002A1F49"/>
    <w:rsid w:val="002A29EF"/>
    <w:rsid w:val="002B4EF1"/>
    <w:rsid w:val="002C2132"/>
    <w:rsid w:val="002E3DD3"/>
    <w:rsid w:val="002E6385"/>
    <w:rsid w:val="002E735D"/>
    <w:rsid w:val="002E776D"/>
    <w:rsid w:val="002E7EF7"/>
    <w:rsid w:val="002F50A2"/>
    <w:rsid w:val="00303828"/>
    <w:rsid w:val="00307B2F"/>
    <w:rsid w:val="00312A4D"/>
    <w:rsid w:val="003170E2"/>
    <w:rsid w:val="003257D8"/>
    <w:rsid w:val="003416AD"/>
    <w:rsid w:val="00345BEB"/>
    <w:rsid w:val="00363344"/>
    <w:rsid w:val="0037598C"/>
    <w:rsid w:val="00383350"/>
    <w:rsid w:val="0038588D"/>
    <w:rsid w:val="003A773D"/>
    <w:rsid w:val="003B50B9"/>
    <w:rsid w:val="003C16F6"/>
    <w:rsid w:val="003C1FD7"/>
    <w:rsid w:val="003C5ABC"/>
    <w:rsid w:val="003D077E"/>
    <w:rsid w:val="003D0CEA"/>
    <w:rsid w:val="003D3C0E"/>
    <w:rsid w:val="003D44D3"/>
    <w:rsid w:val="003E492B"/>
    <w:rsid w:val="003F2992"/>
    <w:rsid w:val="003F4349"/>
    <w:rsid w:val="003F5185"/>
    <w:rsid w:val="003F656E"/>
    <w:rsid w:val="00417F48"/>
    <w:rsid w:val="004343E2"/>
    <w:rsid w:val="00434AC4"/>
    <w:rsid w:val="00434B9E"/>
    <w:rsid w:val="00435251"/>
    <w:rsid w:val="00440179"/>
    <w:rsid w:val="004509B3"/>
    <w:rsid w:val="0045243E"/>
    <w:rsid w:val="00457983"/>
    <w:rsid w:val="00463902"/>
    <w:rsid w:val="00464BBC"/>
    <w:rsid w:val="00471FAC"/>
    <w:rsid w:val="004815D8"/>
    <w:rsid w:val="00483AB1"/>
    <w:rsid w:val="004866D0"/>
    <w:rsid w:val="004929A7"/>
    <w:rsid w:val="004A02B7"/>
    <w:rsid w:val="004A3736"/>
    <w:rsid w:val="004B06CC"/>
    <w:rsid w:val="004E3735"/>
    <w:rsid w:val="004E6781"/>
    <w:rsid w:val="004F6EEB"/>
    <w:rsid w:val="004F7E25"/>
    <w:rsid w:val="0050294F"/>
    <w:rsid w:val="00526DC5"/>
    <w:rsid w:val="00536811"/>
    <w:rsid w:val="00543074"/>
    <w:rsid w:val="0055193D"/>
    <w:rsid w:val="005653CC"/>
    <w:rsid w:val="00567DB3"/>
    <w:rsid w:val="0057046C"/>
    <w:rsid w:val="00584B18"/>
    <w:rsid w:val="005955CB"/>
    <w:rsid w:val="005A109E"/>
    <w:rsid w:val="005B7EB6"/>
    <w:rsid w:val="005C6DAF"/>
    <w:rsid w:val="005E0208"/>
    <w:rsid w:val="005E0EA2"/>
    <w:rsid w:val="005F4EAD"/>
    <w:rsid w:val="00606F45"/>
    <w:rsid w:val="00625DCA"/>
    <w:rsid w:val="00632D03"/>
    <w:rsid w:val="00641928"/>
    <w:rsid w:val="006425C1"/>
    <w:rsid w:val="006454F5"/>
    <w:rsid w:val="00655098"/>
    <w:rsid w:val="006615BB"/>
    <w:rsid w:val="0067428C"/>
    <w:rsid w:val="0068030E"/>
    <w:rsid w:val="0068784F"/>
    <w:rsid w:val="006957FC"/>
    <w:rsid w:val="00695839"/>
    <w:rsid w:val="006A0C8D"/>
    <w:rsid w:val="006B7EBE"/>
    <w:rsid w:val="006D025D"/>
    <w:rsid w:val="006D2C9A"/>
    <w:rsid w:val="006D777A"/>
    <w:rsid w:val="006E6160"/>
    <w:rsid w:val="006F23CA"/>
    <w:rsid w:val="006F28A1"/>
    <w:rsid w:val="006F7A01"/>
    <w:rsid w:val="00700EA2"/>
    <w:rsid w:val="00703160"/>
    <w:rsid w:val="007075BF"/>
    <w:rsid w:val="00713528"/>
    <w:rsid w:val="0071484D"/>
    <w:rsid w:val="00730A3F"/>
    <w:rsid w:val="00742873"/>
    <w:rsid w:val="00750E65"/>
    <w:rsid w:val="0077156C"/>
    <w:rsid w:val="0077409E"/>
    <w:rsid w:val="0078186F"/>
    <w:rsid w:val="007910C9"/>
    <w:rsid w:val="007922EB"/>
    <w:rsid w:val="007A3804"/>
    <w:rsid w:val="007A5592"/>
    <w:rsid w:val="007B040B"/>
    <w:rsid w:val="007B4E00"/>
    <w:rsid w:val="007B7ECF"/>
    <w:rsid w:val="007C041F"/>
    <w:rsid w:val="007C75B2"/>
    <w:rsid w:val="007C7CE4"/>
    <w:rsid w:val="007D0A8B"/>
    <w:rsid w:val="007D2F0C"/>
    <w:rsid w:val="007E558C"/>
    <w:rsid w:val="007F371C"/>
    <w:rsid w:val="007F73DD"/>
    <w:rsid w:val="0081714C"/>
    <w:rsid w:val="00830D30"/>
    <w:rsid w:val="00834FD1"/>
    <w:rsid w:val="00844F10"/>
    <w:rsid w:val="00847B3E"/>
    <w:rsid w:val="008503FC"/>
    <w:rsid w:val="00857D32"/>
    <w:rsid w:val="00870631"/>
    <w:rsid w:val="008854EE"/>
    <w:rsid w:val="0089090E"/>
    <w:rsid w:val="00893DC1"/>
    <w:rsid w:val="008C43D3"/>
    <w:rsid w:val="008C6B91"/>
    <w:rsid w:val="008E2FE9"/>
    <w:rsid w:val="008E5B5B"/>
    <w:rsid w:val="008F3B05"/>
    <w:rsid w:val="009144D0"/>
    <w:rsid w:val="009147D0"/>
    <w:rsid w:val="00915AF1"/>
    <w:rsid w:val="00926411"/>
    <w:rsid w:val="00934658"/>
    <w:rsid w:val="00970147"/>
    <w:rsid w:val="009722FE"/>
    <w:rsid w:val="009765B5"/>
    <w:rsid w:val="0098186A"/>
    <w:rsid w:val="00981F05"/>
    <w:rsid w:val="00997F5A"/>
    <w:rsid w:val="009B3AE3"/>
    <w:rsid w:val="009C03D5"/>
    <w:rsid w:val="009C05F7"/>
    <w:rsid w:val="009C19EF"/>
    <w:rsid w:val="009D135F"/>
    <w:rsid w:val="009D7030"/>
    <w:rsid w:val="009E120D"/>
    <w:rsid w:val="009E2AF0"/>
    <w:rsid w:val="009E6FAF"/>
    <w:rsid w:val="009F11C0"/>
    <w:rsid w:val="00A05358"/>
    <w:rsid w:val="00A267B1"/>
    <w:rsid w:val="00A26D2E"/>
    <w:rsid w:val="00A30AD7"/>
    <w:rsid w:val="00A35F9A"/>
    <w:rsid w:val="00A3750F"/>
    <w:rsid w:val="00A47724"/>
    <w:rsid w:val="00A74F8D"/>
    <w:rsid w:val="00A75364"/>
    <w:rsid w:val="00A75F80"/>
    <w:rsid w:val="00A76FF3"/>
    <w:rsid w:val="00A833C9"/>
    <w:rsid w:val="00AA3210"/>
    <w:rsid w:val="00AB0B5B"/>
    <w:rsid w:val="00AB57F4"/>
    <w:rsid w:val="00AC7C58"/>
    <w:rsid w:val="00AD2A00"/>
    <w:rsid w:val="00B02A91"/>
    <w:rsid w:val="00B03847"/>
    <w:rsid w:val="00B04608"/>
    <w:rsid w:val="00B15BA4"/>
    <w:rsid w:val="00B21399"/>
    <w:rsid w:val="00B304F4"/>
    <w:rsid w:val="00B31963"/>
    <w:rsid w:val="00B3729B"/>
    <w:rsid w:val="00B410C3"/>
    <w:rsid w:val="00B43C54"/>
    <w:rsid w:val="00B673C1"/>
    <w:rsid w:val="00B74AE6"/>
    <w:rsid w:val="00B8151D"/>
    <w:rsid w:val="00B8186D"/>
    <w:rsid w:val="00B833B7"/>
    <w:rsid w:val="00B906DC"/>
    <w:rsid w:val="00B923FD"/>
    <w:rsid w:val="00B94130"/>
    <w:rsid w:val="00B953C3"/>
    <w:rsid w:val="00BC2E01"/>
    <w:rsid w:val="00BC437B"/>
    <w:rsid w:val="00BE4A50"/>
    <w:rsid w:val="00BE5511"/>
    <w:rsid w:val="00BF1D86"/>
    <w:rsid w:val="00C11FFF"/>
    <w:rsid w:val="00C13BF4"/>
    <w:rsid w:val="00C144BE"/>
    <w:rsid w:val="00C216A5"/>
    <w:rsid w:val="00C314A5"/>
    <w:rsid w:val="00C401E3"/>
    <w:rsid w:val="00C44BF0"/>
    <w:rsid w:val="00C501D2"/>
    <w:rsid w:val="00C506D6"/>
    <w:rsid w:val="00C507BA"/>
    <w:rsid w:val="00C51FA7"/>
    <w:rsid w:val="00C6061B"/>
    <w:rsid w:val="00C6522E"/>
    <w:rsid w:val="00C6682A"/>
    <w:rsid w:val="00C70C07"/>
    <w:rsid w:val="00C72254"/>
    <w:rsid w:val="00C730E6"/>
    <w:rsid w:val="00C90072"/>
    <w:rsid w:val="00C966CE"/>
    <w:rsid w:val="00CB3CE5"/>
    <w:rsid w:val="00CB7011"/>
    <w:rsid w:val="00CC0967"/>
    <w:rsid w:val="00CC5837"/>
    <w:rsid w:val="00CC65F3"/>
    <w:rsid w:val="00CE08D5"/>
    <w:rsid w:val="00CF34BE"/>
    <w:rsid w:val="00D01E2A"/>
    <w:rsid w:val="00D107D5"/>
    <w:rsid w:val="00D112EB"/>
    <w:rsid w:val="00D13B5D"/>
    <w:rsid w:val="00D14235"/>
    <w:rsid w:val="00D20A7B"/>
    <w:rsid w:val="00D3247C"/>
    <w:rsid w:val="00D45888"/>
    <w:rsid w:val="00D51062"/>
    <w:rsid w:val="00D565E7"/>
    <w:rsid w:val="00D65E7B"/>
    <w:rsid w:val="00D72706"/>
    <w:rsid w:val="00D72E4D"/>
    <w:rsid w:val="00D7438D"/>
    <w:rsid w:val="00D76DBE"/>
    <w:rsid w:val="00D83CB7"/>
    <w:rsid w:val="00D9722E"/>
    <w:rsid w:val="00DA35B8"/>
    <w:rsid w:val="00DA4746"/>
    <w:rsid w:val="00DA6246"/>
    <w:rsid w:val="00DB49E7"/>
    <w:rsid w:val="00DF1832"/>
    <w:rsid w:val="00DF610C"/>
    <w:rsid w:val="00E077D8"/>
    <w:rsid w:val="00E07F83"/>
    <w:rsid w:val="00E14CE3"/>
    <w:rsid w:val="00E35F31"/>
    <w:rsid w:val="00E41E01"/>
    <w:rsid w:val="00E52AD0"/>
    <w:rsid w:val="00E53D74"/>
    <w:rsid w:val="00E54900"/>
    <w:rsid w:val="00E62283"/>
    <w:rsid w:val="00E627B6"/>
    <w:rsid w:val="00E76687"/>
    <w:rsid w:val="00E86CEA"/>
    <w:rsid w:val="00E96E9B"/>
    <w:rsid w:val="00EA2EED"/>
    <w:rsid w:val="00EA747F"/>
    <w:rsid w:val="00EB6DEF"/>
    <w:rsid w:val="00EB7294"/>
    <w:rsid w:val="00EB7AF7"/>
    <w:rsid w:val="00ED3221"/>
    <w:rsid w:val="00ED5272"/>
    <w:rsid w:val="00ED6E61"/>
    <w:rsid w:val="00EE5FAE"/>
    <w:rsid w:val="00EE6EE2"/>
    <w:rsid w:val="00EE7BA6"/>
    <w:rsid w:val="00EF49C1"/>
    <w:rsid w:val="00EF6F89"/>
    <w:rsid w:val="00F01419"/>
    <w:rsid w:val="00F02DC5"/>
    <w:rsid w:val="00F06DA8"/>
    <w:rsid w:val="00F204F9"/>
    <w:rsid w:val="00F20517"/>
    <w:rsid w:val="00F24ACF"/>
    <w:rsid w:val="00F2598A"/>
    <w:rsid w:val="00F27DD8"/>
    <w:rsid w:val="00F30536"/>
    <w:rsid w:val="00F315CD"/>
    <w:rsid w:val="00F52E77"/>
    <w:rsid w:val="00F67BF7"/>
    <w:rsid w:val="00F7331B"/>
    <w:rsid w:val="00F75C20"/>
    <w:rsid w:val="00F818FC"/>
    <w:rsid w:val="00F94651"/>
    <w:rsid w:val="00F95D44"/>
    <w:rsid w:val="00F97D5B"/>
    <w:rsid w:val="00FB24DB"/>
    <w:rsid w:val="00FC172A"/>
    <w:rsid w:val="00FC453B"/>
    <w:rsid w:val="00FE075C"/>
    <w:rsid w:val="00FE3E74"/>
    <w:rsid w:val="00FF2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310AE7D8"/>
  <w15:chartTrackingRefBased/>
  <w15:docId w15:val="{1869F0C6-37FE-4881-93FA-69EDD38F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Lev 1,Section"/>
    <w:basedOn w:val="Normal"/>
    <w:link w:val="Heading1Char"/>
    <w:qFormat/>
    <w:rsid w:val="009E2AF0"/>
    <w:pPr>
      <w:spacing w:after="240"/>
      <w:outlineLvl w:val="0"/>
    </w:pPr>
    <w:rPr>
      <w:snapToGrid w:val="0"/>
      <w:szCs w:val="20"/>
      <w:lang w:val="en-GB" w:eastAsia="en-GB"/>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link w:val="FooterChar"/>
    <w:uiPriority w:val="99"/>
    <w:rsid w:val="009C03D5"/>
    <w:pPr>
      <w:tabs>
        <w:tab w:val="center" w:pos="4320"/>
        <w:tab w:val="right" w:pos="8640"/>
      </w:tabs>
    </w:pPr>
  </w:style>
  <w:style w:type="paragraph" w:styleId="Header">
    <w:name w:val="header"/>
    <w:basedOn w:val="Normal"/>
    <w:rsid w:val="00AB0B5B"/>
    <w:pPr>
      <w:tabs>
        <w:tab w:val="center" w:pos="4153"/>
        <w:tab w:val="right" w:pos="8306"/>
      </w:tabs>
    </w:pPr>
    <w:rPr>
      <w:szCs w:val="20"/>
      <w:lang w:val="en-IE" w:eastAsia="zh-TW"/>
    </w:rPr>
  </w:style>
  <w:style w:type="character" w:styleId="Hyperlink">
    <w:name w:val="Hyperlink"/>
    <w:uiPriority w:val="99"/>
    <w:rsid w:val="002E776D"/>
    <w:rPr>
      <w:color w:val="0000FF"/>
      <w:u w:val="single"/>
    </w:rPr>
  </w:style>
  <w:style w:type="paragraph" w:styleId="BodyTextIndent">
    <w:name w:val="Body Text Indent"/>
    <w:basedOn w:val="Normal"/>
    <w:rsid w:val="009D7030"/>
    <w:pPr>
      <w:spacing w:after="120"/>
      <w:ind w:left="283"/>
    </w:pPr>
  </w:style>
  <w:style w:type="paragraph" w:styleId="BodyText">
    <w:name w:val="Body Text"/>
    <w:basedOn w:val="Normal"/>
    <w:rsid w:val="00F52E77"/>
    <w:rPr>
      <w:b/>
      <w:szCs w:val="20"/>
      <w:lang w:eastAsia="zh-TW"/>
    </w:rPr>
  </w:style>
  <w:style w:type="paragraph" w:styleId="BodyText2">
    <w:name w:val="Body Text 2"/>
    <w:basedOn w:val="Normal"/>
    <w:rsid w:val="000B64A6"/>
    <w:pPr>
      <w:spacing w:after="120" w:line="480" w:lineRule="auto"/>
    </w:pPr>
  </w:style>
  <w:style w:type="paragraph" w:styleId="BalloonText">
    <w:name w:val="Balloon Text"/>
    <w:basedOn w:val="Normal"/>
    <w:link w:val="BalloonTextChar"/>
    <w:rsid w:val="006F7A01"/>
    <w:rPr>
      <w:rFonts w:ascii="Segoe UI" w:hAnsi="Segoe UI" w:cs="Segoe UI"/>
      <w:sz w:val="18"/>
      <w:szCs w:val="18"/>
    </w:rPr>
  </w:style>
  <w:style w:type="character" w:customStyle="1" w:styleId="BalloonTextChar">
    <w:name w:val="Balloon Text Char"/>
    <w:basedOn w:val="DefaultParagraphFont"/>
    <w:link w:val="BalloonText"/>
    <w:rsid w:val="006F7A01"/>
    <w:rPr>
      <w:rFonts w:ascii="Segoe UI" w:hAnsi="Segoe UI" w:cs="Segoe UI"/>
      <w:sz w:val="18"/>
      <w:szCs w:val="18"/>
      <w:lang w:val="en-US" w:eastAsia="en-US"/>
    </w:rPr>
  </w:style>
  <w:style w:type="character" w:customStyle="1" w:styleId="FooterChar">
    <w:name w:val="Footer Char"/>
    <w:link w:val="Footer"/>
    <w:uiPriority w:val="99"/>
    <w:rsid w:val="00083824"/>
    <w:rPr>
      <w:sz w:val="24"/>
      <w:szCs w:val="24"/>
      <w:lang w:val="en-US" w:eastAsia="en-US"/>
    </w:rPr>
  </w:style>
  <w:style w:type="character" w:customStyle="1" w:styleId="Heading1Char">
    <w:name w:val="Heading 1 Char"/>
    <w:aliases w:val="Lev 1 Char,Section Char"/>
    <w:basedOn w:val="DefaultParagraphFont"/>
    <w:link w:val="Heading1"/>
    <w:rsid w:val="009E2AF0"/>
    <w:rPr>
      <w:snapToGrid w:val="0"/>
      <w:sz w:val="24"/>
      <w:lang w:val="en-GB" w:eastAsia="en-GB"/>
    </w:rPr>
  </w:style>
  <w:style w:type="character" w:styleId="UnresolvedMention">
    <w:name w:val="Unresolved Mention"/>
    <w:basedOn w:val="DefaultParagraphFont"/>
    <w:uiPriority w:val="99"/>
    <w:semiHidden/>
    <w:unhideWhenUsed/>
    <w:rsid w:val="00CE0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Listing-Conditions-ISE-Primary-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Listing-Conditions-ISE-Primary-Checklist (new)</Template>
  <TotalTime>18</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Listing Conditions - Primary Checklist</vt:lpstr>
    </vt:vector>
  </TitlesOfParts>
  <Company>Valerie Haslam Design</Company>
  <LinksUpToDate>false</LinksUpToDate>
  <CharactersWithSpaces>9154</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Conditions - Primary Checklist</dc:title>
  <dc:subject/>
  <dc:creator>McArdle, Aisling</dc:creator>
  <cp:keywords/>
  <cp:lastModifiedBy>Therese Moore</cp:lastModifiedBy>
  <cp:revision>7</cp:revision>
  <cp:lastPrinted>2010-03-21T17:00:00Z</cp:lastPrinted>
  <dcterms:created xsi:type="dcterms:W3CDTF">2019-02-07T12:14:00Z</dcterms:created>
  <dcterms:modified xsi:type="dcterms:W3CDTF">2019-05-14T13:48:00Z</dcterms:modified>
</cp:coreProperties>
</file>